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60D5" w14:textId="77777777" w:rsidR="00CA4020" w:rsidRPr="00CA4020" w:rsidRDefault="00CA4020" w:rsidP="00CA4020">
      <w:pPr>
        <w:shd w:val="clear" w:color="auto" w:fill="FFFFFF"/>
        <w:spacing w:after="72" w:line="240" w:lineRule="auto"/>
        <w:outlineLvl w:val="0"/>
        <w:rPr>
          <w:rFonts w:ascii="Tahoma" w:eastAsia="Times New Roman" w:hAnsi="Tahoma" w:cs="Tahoma"/>
          <w:kern w:val="36"/>
          <w:sz w:val="50"/>
          <w:szCs w:val="50"/>
          <w:lang w:eastAsia="ru-RU"/>
        </w:rPr>
      </w:pPr>
      <w:r w:rsidRPr="00CA4020">
        <w:rPr>
          <w:rFonts w:ascii="Tahoma" w:eastAsia="Times New Roman" w:hAnsi="Tahoma" w:cs="Tahoma"/>
          <w:kern w:val="36"/>
          <w:sz w:val="50"/>
          <w:szCs w:val="50"/>
          <w:lang w:eastAsia="ru-RU"/>
        </w:rPr>
        <w:t>Обзор Постановления №1351 от 10.11.2017 года</w:t>
      </w:r>
    </w:p>
    <w:p w14:paraId="71CBC044" w14:textId="77777777" w:rsidR="00CA4020" w:rsidRPr="00CA4020" w:rsidRDefault="00CA4020" w:rsidP="00CA4020">
      <w:pPr>
        <w:shd w:val="clear" w:color="auto" w:fill="FFFFFF"/>
        <w:spacing w:before="240" w:after="24" w:line="240" w:lineRule="auto"/>
        <w:outlineLvl w:val="1"/>
        <w:rPr>
          <w:rFonts w:ascii="Tahoma" w:eastAsia="Times New Roman" w:hAnsi="Tahoma" w:cs="Tahoma"/>
          <w:color w:val="3B3B3B"/>
          <w:sz w:val="37"/>
          <w:szCs w:val="37"/>
          <w:lang w:eastAsia="ru-RU"/>
        </w:rPr>
      </w:pPr>
      <w:r w:rsidRPr="00CA4020">
        <w:rPr>
          <w:rFonts w:ascii="Tahoma" w:eastAsia="Times New Roman" w:hAnsi="Tahoma" w:cs="Tahoma"/>
          <w:color w:val="3B3B3B"/>
          <w:sz w:val="37"/>
          <w:szCs w:val="37"/>
          <w:lang w:eastAsia="ru-RU"/>
        </w:rPr>
        <w:t>Обзор Постановления №1351 от 10.11.2017 г.</w:t>
      </w:r>
    </w:p>
    <w:p w14:paraId="309BD855" w14:textId="77777777" w:rsidR="00CA4020" w:rsidRPr="00CA4020" w:rsidRDefault="00CA4020" w:rsidP="00CA4020">
      <w:pPr>
        <w:shd w:val="clear" w:color="auto" w:fill="FFFFFF"/>
        <w:spacing w:after="0" w:line="240" w:lineRule="auto"/>
        <w:rPr>
          <w:rFonts w:ascii="Tahoma" w:eastAsia="Times New Roman" w:hAnsi="Tahoma" w:cs="Tahoma"/>
          <w:color w:val="3B3B3B"/>
          <w:sz w:val="18"/>
          <w:szCs w:val="18"/>
          <w:lang w:eastAsia="ru-RU"/>
        </w:rPr>
      </w:pPr>
      <w:r w:rsidRPr="00CA4020">
        <w:rPr>
          <w:rFonts w:ascii="Tahoma" w:eastAsia="Times New Roman" w:hAnsi="Tahoma" w:cs="Tahoma"/>
          <w:i/>
          <w:iCs/>
          <w:color w:val="3B3B3B"/>
          <w:sz w:val="18"/>
          <w:szCs w:val="18"/>
          <w:lang w:eastAsia="ru-RU"/>
        </w:rPr>
        <w:t>Уточнен порядок электроснабжения в садоводческих, огороднических и дачных некоммерческих объединениях граждан</w:t>
      </w:r>
    </w:p>
    <w:p w14:paraId="65C6F072" w14:textId="77777777" w:rsidR="00CA4020" w:rsidRPr="00CA4020" w:rsidRDefault="00CA4020" w:rsidP="00CA4020">
      <w:pPr>
        <w:shd w:val="clear" w:color="auto" w:fill="FFFFFF"/>
        <w:spacing w:after="0" w:line="240" w:lineRule="auto"/>
        <w:rPr>
          <w:rFonts w:ascii="Tahoma" w:eastAsia="Times New Roman" w:hAnsi="Tahoma" w:cs="Tahoma"/>
          <w:color w:val="3B3B3B"/>
          <w:sz w:val="18"/>
          <w:szCs w:val="18"/>
          <w:lang w:eastAsia="ru-RU"/>
        </w:rPr>
      </w:pPr>
      <w:r w:rsidRPr="00CA4020">
        <w:rPr>
          <w:rFonts w:ascii="Tahoma" w:eastAsia="Times New Roman" w:hAnsi="Tahoma" w:cs="Tahoma"/>
          <w:b/>
          <w:bCs/>
          <w:color w:val="3B3B3B"/>
          <w:sz w:val="18"/>
          <w:szCs w:val="18"/>
          <w:lang w:eastAsia="ru-RU"/>
        </w:rPr>
        <w:t>Вкратце для Председателей СНТ и садоводов:</w:t>
      </w:r>
    </w:p>
    <w:p w14:paraId="1C032EC4" w14:textId="77777777" w:rsidR="00CA4020" w:rsidRPr="00CA4020" w:rsidRDefault="00CA4020" w:rsidP="00CA4020">
      <w:pPr>
        <w:numPr>
          <w:ilvl w:val="0"/>
          <w:numId w:val="1"/>
        </w:numPr>
        <w:shd w:val="clear" w:color="auto" w:fill="FFFFFF"/>
        <w:spacing w:after="0" w:line="240" w:lineRule="auto"/>
        <w:ind w:left="1245"/>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определяются особенности осуществления расчетов за электрическую энергию на основании показаний прибора учета, установленного не на границе балансовой принадлежности объектов электроэнергетики (энергопринимающих устройств);</w:t>
      </w:r>
    </w:p>
    <w:p w14:paraId="4125D784" w14:textId="77777777" w:rsidR="00CA4020" w:rsidRPr="00CA4020" w:rsidRDefault="00CA4020" w:rsidP="00CA4020">
      <w:pPr>
        <w:numPr>
          <w:ilvl w:val="0"/>
          <w:numId w:val="1"/>
        </w:numPr>
        <w:shd w:val="clear" w:color="auto" w:fill="FFFFFF"/>
        <w:spacing w:after="0" w:line="240" w:lineRule="auto"/>
        <w:ind w:left="1245"/>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устанавливается обязанность лица, заключившего "прямой" договор оплачивать часть расходов по оплате электрической энергии, потребленной при использовании объектов общего имущества и часть возникающих потерь электрической энергии;</w:t>
      </w:r>
    </w:p>
    <w:p w14:paraId="63C9B346" w14:textId="77777777" w:rsidR="00CA4020" w:rsidRPr="00CA4020" w:rsidRDefault="00CA4020" w:rsidP="00CA4020">
      <w:pPr>
        <w:numPr>
          <w:ilvl w:val="0"/>
          <w:numId w:val="1"/>
        </w:numPr>
        <w:shd w:val="clear" w:color="auto" w:fill="FFFFFF"/>
        <w:spacing w:after="0" w:line="240" w:lineRule="auto"/>
        <w:ind w:left="1245"/>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 xml:space="preserve">садоводческие, огороднические и дачные некоммерческие объединения граждан наделяются статусом </w:t>
      </w:r>
      <w:proofErr w:type="spellStart"/>
      <w:r w:rsidRPr="00CA4020">
        <w:rPr>
          <w:rFonts w:ascii="Tahoma" w:eastAsia="Times New Roman" w:hAnsi="Tahoma" w:cs="Tahoma"/>
          <w:color w:val="3B3B3B"/>
          <w:sz w:val="18"/>
          <w:szCs w:val="18"/>
          <w:lang w:eastAsia="ru-RU"/>
        </w:rPr>
        <w:t>субисполнителей</w:t>
      </w:r>
      <w:proofErr w:type="spellEnd"/>
      <w:r w:rsidRPr="00CA4020">
        <w:rPr>
          <w:rFonts w:ascii="Tahoma" w:eastAsia="Times New Roman" w:hAnsi="Tahoma" w:cs="Tahoma"/>
          <w:color w:val="3B3B3B"/>
          <w:sz w:val="18"/>
          <w:szCs w:val="18"/>
          <w:lang w:eastAsia="ru-RU"/>
        </w:rPr>
        <w:t xml:space="preserve"> по договорам электроснабжения;</w:t>
      </w:r>
    </w:p>
    <w:p w14:paraId="4BEF79D8" w14:textId="77777777" w:rsidR="00CA4020" w:rsidRPr="00CA4020" w:rsidRDefault="00CA4020" w:rsidP="00CA4020">
      <w:pPr>
        <w:numPr>
          <w:ilvl w:val="0"/>
          <w:numId w:val="1"/>
        </w:numPr>
        <w:shd w:val="clear" w:color="auto" w:fill="FFFFFF"/>
        <w:spacing w:after="0" w:line="240" w:lineRule="auto"/>
        <w:ind w:left="1245"/>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вводится дополнительное основание ограничения режима потребления электрической энергии - возникновение у садовода задолженности по оплате потребленной электрической энергии или по оплате части расходов на оплату электрической энергии, потребленной при содержании общего имущества или по оплате части потерь электрической энергии.</w:t>
      </w:r>
    </w:p>
    <w:tbl>
      <w:tblPr>
        <w:tblW w:w="15" w:type="dxa"/>
        <w:tblCellMar>
          <w:top w:w="15" w:type="dxa"/>
          <w:left w:w="15" w:type="dxa"/>
          <w:bottom w:w="15" w:type="dxa"/>
          <w:right w:w="15" w:type="dxa"/>
        </w:tblCellMar>
        <w:tblLook w:val="04A0" w:firstRow="1" w:lastRow="0" w:firstColumn="1" w:lastColumn="0" w:noHBand="0" w:noVBand="1"/>
      </w:tblPr>
      <w:tblGrid>
        <w:gridCol w:w="9355"/>
      </w:tblGrid>
      <w:tr w:rsidR="00CA4020" w:rsidRPr="00CA4020" w14:paraId="6111B9D0" w14:textId="77777777" w:rsidTr="00CA4020">
        <w:tc>
          <w:tcPr>
            <w:tcW w:w="0" w:type="auto"/>
            <w:tcMar>
              <w:top w:w="0" w:type="dxa"/>
              <w:left w:w="0" w:type="dxa"/>
              <w:bottom w:w="0" w:type="dxa"/>
              <w:right w:w="0" w:type="dxa"/>
            </w:tcMar>
            <w:vAlign w:val="center"/>
            <w:hideMark/>
          </w:tcPr>
          <w:p w14:paraId="3D221F26" w14:textId="77777777" w:rsidR="00CA4020" w:rsidRPr="00CA4020" w:rsidRDefault="00CA4020" w:rsidP="00CA4020">
            <w:pPr>
              <w:spacing w:after="0" w:line="240" w:lineRule="auto"/>
              <w:rPr>
                <w:rFonts w:ascii="Times New Roman" w:eastAsia="Times New Roman" w:hAnsi="Times New Roman" w:cs="Times New Roman"/>
                <w:sz w:val="18"/>
                <w:szCs w:val="18"/>
                <w:lang w:eastAsia="ru-RU"/>
              </w:rPr>
            </w:pPr>
            <w:r w:rsidRPr="00CA4020">
              <w:rPr>
                <w:rFonts w:ascii="Times New Roman" w:eastAsia="Times New Roman" w:hAnsi="Times New Roman" w:cs="Times New Roman"/>
                <w:noProof/>
                <w:sz w:val="18"/>
                <w:szCs w:val="18"/>
                <w:lang w:eastAsia="ru-RU"/>
              </w:rPr>
              <w:drawing>
                <wp:inline distT="0" distB="0" distL="0" distR="0" wp14:anchorId="69A4D698" wp14:editId="73C966FF">
                  <wp:extent cx="6667500" cy="496379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4963795"/>
                          </a:xfrm>
                          <a:prstGeom prst="rect">
                            <a:avLst/>
                          </a:prstGeom>
                          <a:noFill/>
                          <a:ln>
                            <a:noFill/>
                          </a:ln>
                        </pic:spPr>
                      </pic:pic>
                    </a:graphicData>
                  </a:graphic>
                </wp:inline>
              </w:drawing>
            </w:r>
          </w:p>
        </w:tc>
      </w:tr>
      <w:tr w:rsidR="00CA4020" w:rsidRPr="00CA4020" w14:paraId="58039FD2" w14:textId="77777777" w:rsidTr="00CA4020">
        <w:tc>
          <w:tcPr>
            <w:tcW w:w="0" w:type="auto"/>
            <w:tcMar>
              <w:top w:w="24" w:type="dxa"/>
              <w:left w:w="0" w:type="dxa"/>
              <w:bottom w:w="48" w:type="dxa"/>
              <w:right w:w="0" w:type="dxa"/>
            </w:tcMar>
            <w:vAlign w:val="center"/>
            <w:hideMark/>
          </w:tcPr>
          <w:p w14:paraId="00124592" w14:textId="77777777" w:rsidR="00CA4020" w:rsidRPr="00CA4020" w:rsidRDefault="00CA4020" w:rsidP="00CA4020">
            <w:pPr>
              <w:spacing w:after="0" w:line="240" w:lineRule="auto"/>
              <w:rPr>
                <w:rFonts w:ascii="Times New Roman" w:eastAsia="Times New Roman" w:hAnsi="Times New Roman" w:cs="Times New Roman"/>
                <w:sz w:val="18"/>
                <w:szCs w:val="18"/>
                <w:lang w:eastAsia="ru-RU"/>
              </w:rPr>
            </w:pPr>
          </w:p>
        </w:tc>
      </w:tr>
    </w:tbl>
    <w:p w14:paraId="1E171475" w14:textId="77777777" w:rsidR="00CA4020" w:rsidRPr="00CA4020" w:rsidRDefault="00CA4020" w:rsidP="00CA4020">
      <w:pPr>
        <w:shd w:val="clear" w:color="auto" w:fill="FFD7AF"/>
        <w:spacing w:line="240" w:lineRule="auto"/>
        <w:rPr>
          <w:rFonts w:ascii="Tahoma" w:eastAsia="Times New Roman" w:hAnsi="Tahoma" w:cs="Tahoma"/>
          <w:b/>
          <w:bCs/>
          <w:color w:val="3B3B3B"/>
          <w:sz w:val="18"/>
          <w:szCs w:val="18"/>
          <w:lang w:eastAsia="ru-RU"/>
        </w:rPr>
      </w:pPr>
      <w:r w:rsidRPr="00CA4020">
        <w:rPr>
          <w:rFonts w:ascii="Tahoma" w:eastAsia="Times New Roman" w:hAnsi="Tahoma" w:cs="Tahoma"/>
          <w:b/>
          <w:bCs/>
          <w:color w:val="3B3B3B"/>
          <w:sz w:val="18"/>
          <w:szCs w:val="18"/>
          <w:lang w:eastAsia="ru-RU"/>
        </w:rPr>
        <w:t>Комментарии Постановления №1351 от 10.11.2017 г.</w:t>
      </w:r>
    </w:p>
    <w:p w14:paraId="76789375" w14:textId="77777777" w:rsidR="00CA4020" w:rsidRPr="00CA4020" w:rsidRDefault="00CA4020" w:rsidP="00CA4020">
      <w:pPr>
        <w:shd w:val="clear" w:color="auto" w:fill="FFFFFF"/>
        <w:spacing w:after="24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 Раньше, если собственник участка на территории СНТ хотел заключить индивидуальный договор энергоснабжения (и не зависеть в вопросах энергоснабжения от товарищества), ему надо было заключить с СНТ специальный договор на пользование электросетями товарищества. Теперь это требование отменено.</w:t>
      </w:r>
    </w:p>
    <w:p w14:paraId="0ABDF03C" w14:textId="77777777" w:rsidR="00CA4020" w:rsidRPr="00CA4020" w:rsidRDefault="00CA4020" w:rsidP="00CA4020">
      <w:pPr>
        <w:shd w:val="clear" w:color="auto" w:fill="FFFFFF"/>
        <w:spacing w:after="24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lastRenderedPageBreak/>
        <w:t>— Прибор учёта при установке в СНТ должен быть установлен на границах земельных участков потребителей электроэнергии (в случае невозможности такой установки – в месте максимально приближенном к границе земельного участка потребителя электроэнергии).</w:t>
      </w:r>
    </w:p>
    <w:p w14:paraId="33B5E3AC" w14:textId="77777777" w:rsidR="00CA4020" w:rsidRPr="00CA4020" w:rsidRDefault="00CA4020" w:rsidP="00CA4020">
      <w:pPr>
        <w:shd w:val="clear" w:color="auto" w:fill="FFFFFF"/>
        <w:spacing w:after="24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 Вновь продекларировано право электросетей использовать инфраструктуру СНТ для подключения «индивидуалов», при этом СНТ не вправе препятствовать этим действиями и требовать за это какую-либо плату.</w:t>
      </w:r>
    </w:p>
    <w:p w14:paraId="63EC07F6" w14:textId="77777777" w:rsidR="00CA4020" w:rsidRPr="00CA4020" w:rsidRDefault="00CA4020" w:rsidP="00CA4020">
      <w:pPr>
        <w:shd w:val="clear" w:color="auto" w:fill="FFFFFF"/>
        <w:spacing w:after="24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 xml:space="preserve">— Изменен перечень документов, которые необходимо предоставить в электросетевую организации при подаче заявки на технологическое присоединение объектов СНТ. В частности, необходимо предоставить количество и перечень участков СНТ, с указанием данных владельцев, кадастровых номеров участков, а </w:t>
      </w:r>
      <w:proofErr w:type="gramStart"/>
      <w:r w:rsidRPr="00CA4020">
        <w:rPr>
          <w:rFonts w:ascii="Tahoma" w:eastAsia="Times New Roman" w:hAnsi="Tahoma" w:cs="Tahoma"/>
          <w:color w:val="3B3B3B"/>
          <w:sz w:val="18"/>
          <w:szCs w:val="18"/>
          <w:lang w:eastAsia="ru-RU"/>
        </w:rPr>
        <w:t>так же</w:t>
      </w:r>
      <w:proofErr w:type="gramEnd"/>
      <w:r w:rsidRPr="00CA4020">
        <w:rPr>
          <w:rFonts w:ascii="Tahoma" w:eastAsia="Times New Roman" w:hAnsi="Tahoma" w:cs="Tahoma"/>
          <w:color w:val="3B3B3B"/>
          <w:sz w:val="18"/>
          <w:szCs w:val="18"/>
          <w:lang w:eastAsia="ru-RU"/>
        </w:rPr>
        <w:t xml:space="preserve"> данных об объемах выделяемой на каждый из участков электрической мощности.</w:t>
      </w:r>
    </w:p>
    <w:p w14:paraId="70FA5755" w14:textId="77777777" w:rsidR="00CA4020" w:rsidRPr="00CA4020" w:rsidRDefault="00CA4020" w:rsidP="00CA4020">
      <w:pPr>
        <w:shd w:val="clear" w:color="auto" w:fill="FFFFFF"/>
        <w:spacing w:after="24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 При подключении к электросетям участка на территории СНТ, хозяин которого членом объединения не является и ведет индивидуальную хозяйственную деятельность, должна быть предусмотрена возможность отключения ограничения (отключения) электроснабжения этого участка без ущерба для членов СНТ (собственников других участков на территории СНТ).</w:t>
      </w:r>
    </w:p>
    <w:p w14:paraId="4EF55875" w14:textId="77777777" w:rsidR="00CA4020" w:rsidRPr="00CA4020" w:rsidRDefault="00CA4020" w:rsidP="00CA4020">
      <w:pPr>
        <w:shd w:val="clear" w:color="auto" w:fill="FFFFFF"/>
        <w:spacing w:after="24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 При заключении индивидуального договора энергоснабжения член СНТ или лицо, не являющееся членом СНТ, но владеющее участком на территории объединения, имеет право вместо документов, подтверждающих подключение к сетям именно этого участка, предоставить документы, подтверждающие статус члена СНТ на момент подключения к электросетям товарищества в целом. Либо, как вариант, «иные документы», которые подтверждают имеющее место быть фактическое потребление электроэнергии.</w:t>
      </w:r>
    </w:p>
    <w:p w14:paraId="354F4EA8" w14:textId="77777777" w:rsidR="00CA4020" w:rsidRPr="00CA4020" w:rsidRDefault="00CA4020" w:rsidP="00CA4020">
      <w:pPr>
        <w:shd w:val="clear" w:color="auto" w:fill="FFFFFF"/>
        <w:spacing w:after="24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 Изменен перечень документов, которые необходимо предоставить в электросетевую организации при подаче заявки на технологическое присоединение объектов СНТ.</w:t>
      </w:r>
    </w:p>
    <w:p w14:paraId="3E8947D1" w14:textId="77777777" w:rsidR="00CA4020" w:rsidRPr="00CA4020" w:rsidRDefault="00CA4020" w:rsidP="00CA4020">
      <w:pPr>
        <w:shd w:val="clear" w:color="auto" w:fill="FFFFFF"/>
        <w:spacing w:after="24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 xml:space="preserve">В частности, необходимо предоставить количество и перечень участков СНТ, с указанием данных владельцев, кадастровых номеров участков, а </w:t>
      </w:r>
      <w:proofErr w:type="gramStart"/>
      <w:r w:rsidRPr="00CA4020">
        <w:rPr>
          <w:rFonts w:ascii="Tahoma" w:eastAsia="Times New Roman" w:hAnsi="Tahoma" w:cs="Tahoma"/>
          <w:color w:val="3B3B3B"/>
          <w:sz w:val="18"/>
          <w:szCs w:val="18"/>
          <w:lang w:eastAsia="ru-RU"/>
        </w:rPr>
        <w:t>так же</w:t>
      </w:r>
      <w:proofErr w:type="gramEnd"/>
      <w:r w:rsidRPr="00CA4020">
        <w:rPr>
          <w:rFonts w:ascii="Tahoma" w:eastAsia="Times New Roman" w:hAnsi="Tahoma" w:cs="Tahoma"/>
          <w:color w:val="3B3B3B"/>
          <w:sz w:val="18"/>
          <w:szCs w:val="18"/>
          <w:lang w:eastAsia="ru-RU"/>
        </w:rPr>
        <w:t xml:space="preserve"> данных об объемах выделяемой на каждый из участков электрической мощности.</w:t>
      </w:r>
    </w:p>
    <w:p w14:paraId="3394ED06" w14:textId="77777777" w:rsidR="00CA4020" w:rsidRPr="00CA4020" w:rsidRDefault="00CA4020" w:rsidP="00CA4020">
      <w:pPr>
        <w:shd w:val="clear" w:color="auto" w:fill="FFFFFF"/>
        <w:spacing w:after="24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 xml:space="preserve">— Оплату потерь в сетях СНТ, а </w:t>
      </w:r>
      <w:proofErr w:type="gramStart"/>
      <w:r w:rsidRPr="00CA4020">
        <w:rPr>
          <w:rFonts w:ascii="Tahoma" w:eastAsia="Times New Roman" w:hAnsi="Tahoma" w:cs="Tahoma"/>
          <w:color w:val="3B3B3B"/>
          <w:sz w:val="18"/>
          <w:szCs w:val="18"/>
          <w:lang w:eastAsia="ru-RU"/>
        </w:rPr>
        <w:t>так же</w:t>
      </w:r>
      <w:proofErr w:type="gramEnd"/>
      <w:r w:rsidRPr="00CA4020">
        <w:rPr>
          <w:rFonts w:ascii="Tahoma" w:eastAsia="Times New Roman" w:hAnsi="Tahoma" w:cs="Tahoma"/>
          <w:color w:val="3B3B3B"/>
          <w:sz w:val="18"/>
          <w:szCs w:val="18"/>
          <w:lang w:eastAsia="ru-RU"/>
        </w:rPr>
        <w:t xml:space="preserve"> расходы на обеспечение функционирования </w:t>
      </w:r>
      <w:proofErr w:type="spellStart"/>
      <w:r w:rsidRPr="00CA4020">
        <w:rPr>
          <w:rFonts w:ascii="Tahoma" w:eastAsia="Times New Roman" w:hAnsi="Tahoma" w:cs="Tahoma"/>
          <w:color w:val="3B3B3B"/>
          <w:sz w:val="18"/>
          <w:szCs w:val="18"/>
          <w:lang w:eastAsia="ru-RU"/>
        </w:rPr>
        <w:t>энергоинфраструктуры</w:t>
      </w:r>
      <w:proofErr w:type="spellEnd"/>
      <w:r w:rsidRPr="00CA4020">
        <w:rPr>
          <w:rFonts w:ascii="Tahoma" w:eastAsia="Times New Roman" w:hAnsi="Tahoma" w:cs="Tahoma"/>
          <w:color w:val="3B3B3B"/>
          <w:sz w:val="18"/>
          <w:szCs w:val="18"/>
          <w:lang w:eastAsia="ru-RU"/>
        </w:rPr>
        <w:t xml:space="preserve"> товарищества члены СНТ и «индивидуалы», имеющие «прямой» договор с энергосбытом, должны оплачивать на одинаковых условиях.</w:t>
      </w:r>
    </w:p>
    <w:p w14:paraId="7355DFAF" w14:textId="77777777" w:rsidR="00CA4020" w:rsidRPr="00CA4020" w:rsidRDefault="00CA4020" w:rsidP="00CA4020">
      <w:pPr>
        <w:shd w:val="clear" w:color="auto" w:fill="FFFFFF"/>
        <w:spacing w:after="24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t>— СНТ получают право ограничения (отключения) электроснабжения потребителей, присоединенных к их сетям. Раньше такого права официально у садоводческих, дачных и огороднических объединений не было. Этим правом на отключение электроснабжения СНТ могут воспользоваться, если «индивидуалы» не исполнят обязанности по компенсации потерь в сетях товарищества и расходов на общую инфраструктуру.</w:t>
      </w:r>
    </w:p>
    <w:p w14:paraId="40733AFB" w14:textId="77777777" w:rsidR="00CA4020" w:rsidRPr="00CA4020" w:rsidRDefault="00CA4020" w:rsidP="00CA4020">
      <w:pPr>
        <w:shd w:val="clear" w:color="auto" w:fill="FFD7AF"/>
        <w:spacing w:after="0" w:line="240" w:lineRule="auto"/>
        <w:ind w:left="1245"/>
        <w:rPr>
          <w:rFonts w:ascii="Tahoma" w:eastAsia="Times New Roman" w:hAnsi="Tahoma" w:cs="Tahoma"/>
          <w:b/>
          <w:bCs/>
          <w:color w:val="3B3B3B"/>
          <w:sz w:val="18"/>
          <w:szCs w:val="18"/>
          <w:lang w:eastAsia="ru-RU"/>
        </w:rPr>
      </w:pPr>
      <w:r w:rsidRPr="00CA4020">
        <w:rPr>
          <w:rFonts w:ascii="Tahoma" w:eastAsia="Times New Roman" w:hAnsi="Tahoma" w:cs="Tahoma"/>
          <w:b/>
          <w:bCs/>
          <w:color w:val="3B3B3B"/>
          <w:sz w:val="18"/>
          <w:szCs w:val="18"/>
          <w:lang w:eastAsia="ru-RU"/>
        </w:rPr>
        <w:t>Законодательно закреплено, что СНТ имеет право вводить в отношении членов СНТ и индивидуальных потребителей режим полного или частичного ограничения потребления электроэнергии (отключение или ограничение мощности) при наличии задолженности по оплате электроэнергии и ненадлежащего исполнения обязательств по оплате части стоимости электроэнергии, потреблённой объектами инфраструктуры и другого имущества, а также потерь в сетях СНТ (данная часть стоимости электроэнергии закладывается в Членский взнос и принимается на общем собрании членов СНТ). Из последнего следует, что неоплата Членского взноса также влечёт отключение или ограничение потребления электроэнергии.</w:t>
      </w:r>
    </w:p>
    <w:p w14:paraId="1FAA7325" w14:textId="77777777" w:rsidR="00CA4020" w:rsidRPr="00CA4020" w:rsidRDefault="00CA4020" w:rsidP="00CA4020">
      <w:pPr>
        <w:numPr>
          <w:ilvl w:val="0"/>
          <w:numId w:val="2"/>
        </w:numPr>
        <w:shd w:val="clear" w:color="auto" w:fill="FFD7AF"/>
        <w:spacing w:after="0" w:line="240" w:lineRule="auto"/>
        <w:ind w:left="1245"/>
        <w:rPr>
          <w:rFonts w:ascii="Tahoma" w:eastAsia="Times New Roman" w:hAnsi="Tahoma" w:cs="Tahoma"/>
          <w:b/>
          <w:bCs/>
          <w:color w:val="3B3B3B"/>
          <w:sz w:val="18"/>
          <w:szCs w:val="18"/>
          <w:lang w:eastAsia="ru-RU"/>
        </w:rPr>
      </w:pPr>
      <w:r w:rsidRPr="00CA4020">
        <w:rPr>
          <w:rFonts w:ascii="Tahoma" w:eastAsia="Times New Roman" w:hAnsi="Tahoma" w:cs="Tahoma"/>
          <w:b/>
          <w:bCs/>
          <w:color w:val="3B3B3B"/>
          <w:sz w:val="18"/>
          <w:szCs w:val="18"/>
          <w:lang w:eastAsia="ru-RU"/>
        </w:rPr>
        <w:t>Законодательно закреплено, что СНТ имеет право выступать в качестве ИНИЦИАТОРА ввода режима полного или частичного ограничения, так и в качестве СУБИСПОЛНИТЕЛЯ при выполнении процедуры ввода такого ограничения.</w:t>
      </w:r>
    </w:p>
    <w:p w14:paraId="6910229D" w14:textId="77777777" w:rsidR="00CA4020" w:rsidRPr="00CA4020" w:rsidRDefault="00CA4020" w:rsidP="00CA4020">
      <w:pPr>
        <w:numPr>
          <w:ilvl w:val="0"/>
          <w:numId w:val="2"/>
        </w:numPr>
        <w:shd w:val="clear" w:color="auto" w:fill="FFD7AF"/>
        <w:spacing w:line="240" w:lineRule="auto"/>
        <w:ind w:left="1245"/>
        <w:rPr>
          <w:rFonts w:ascii="Tahoma" w:eastAsia="Times New Roman" w:hAnsi="Tahoma" w:cs="Tahoma"/>
          <w:b/>
          <w:bCs/>
          <w:color w:val="3B3B3B"/>
          <w:sz w:val="18"/>
          <w:szCs w:val="18"/>
          <w:lang w:eastAsia="ru-RU"/>
        </w:rPr>
      </w:pPr>
      <w:r w:rsidRPr="00CA4020">
        <w:rPr>
          <w:rFonts w:ascii="Tahoma" w:eastAsia="Times New Roman" w:hAnsi="Tahoma" w:cs="Tahoma"/>
          <w:b/>
          <w:bCs/>
          <w:color w:val="3B3B3B"/>
          <w:sz w:val="18"/>
          <w:szCs w:val="18"/>
          <w:lang w:eastAsia="ru-RU"/>
        </w:rPr>
        <w:t>Законодательно закреплено, что все, кто подключён к электрическим сетям СНТ, обязаны оплачивать часть стоимости электроэнергии, потреблённой при использовании объектов общей инфраструктуры (например, общее освещение улиц на территории СНТ) и другого имущества общего пользования СНТ (например, электроснабжение водонапорной башни, общих скважин, сторожки), а также оплачивать часть потерь электроэнергии, возникающих в сетях СНТ.</w:t>
      </w:r>
    </w:p>
    <w:p w14:paraId="00C8347D" w14:textId="77777777" w:rsidR="00CA4020" w:rsidRDefault="00CA4020" w:rsidP="00CA4020">
      <w:pPr>
        <w:shd w:val="clear" w:color="auto" w:fill="FFFFFF"/>
        <w:spacing w:before="240" w:after="24" w:line="240" w:lineRule="auto"/>
        <w:outlineLvl w:val="1"/>
        <w:rPr>
          <w:rFonts w:ascii="Tahoma" w:eastAsia="Times New Roman" w:hAnsi="Tahoma" w:cs="Tahoma"/>
          <w:color w:val="3B3B3B"/>
          <w:sz w:val="37"/>
          <w:szCs w:val="37"/>
          <w:lang w:eastAsia="ru-RU"/>
        </w:rPr>
      </w:pPr>
    </w:p>
    <w:p w14:paraId="2B0CC883" w14:textId="651C1115" w:rsidR="00CA4020" w:rsidRPr="00CA4020" w:rsidRDefault="00CA4020" w:rsidP="00CA4020">
      <w:pPr>
        <w:shd w:val="clear" w:color="auto" w:fill="FFFFFF"/>
        <w:spacing w:before="240" w:after="24" w:line="240" w:lineRule="auto"/>
        <w:outlineLvl w:val="1"/>
        <w:rPr>
          <w:rFonts w:ascii="Tahoma" w:eastAsia="Times New Roman" w:hAnsi="Tahoma" w:cs="Tahoma"/>
          <w:color w:val="3B3B3B"/>
          <w:sz w:val="37"/>
          <w:szCs w:val="37"/>
          <w:lang w:eastAsia="ru-RU"/>
        </w:rPr>
      </w:pPr>
      <w:r w:rsidRPr="00CA4020">
        <w:rPr>
          <w:rFonts w:ascii="Tahoma" w:eastAsia="Times New Roman" w:hAnsi="Tahoma" w:cs="Tahoma"/>
          <w:color w:val="3B3B3B"/>
          <w:sz w:val="37"/>
          <w:szCs w:val="37"/>
          <w:lang w:eastAsia="ru-RU"/>
        </w:rPr>
        <w:lastRenderedPageBreak/>
        <w:t>Пункт 144 Приборы учёта из Постановления №1351 от 10.11.2017 г.</w:t>
      </w:r>
    </w:p>
    <w:tbl>
      <w:tblPr>
        <w:tblW w:w="15" w:type="dxa"/>
        <w:tblCellMar>
          <w:top w:w="15" w:type="dxa"/>
          <w:left w:w="15" w:type="dxa"/>
          <w:bottom w:w="15" w:type="dxa"/>
          <w:right w:w="15" w:type="dxa"/>
        </w:tblCellMar>
        <w:tblLook w:val="04A0" w:firstRow="1" w:lastRow="0" w:firstColumn="1" w:lastColumn="0" w:noHBand="0" w:noVBand="1"/>
      </w:tblPr>
      <w:tblGrid>
        <w:gridCol w:w="9000"/>
      </w:tblGrid>
      <w:tr w:rsidR="00CA4020" w:rsidRPr="00CA4020" w14:paraId="3BF9EEDA" w14:textId="77777777" w:rsidTr="00CA4020">
        <w:tc>
          <w:tcPr>
            <w:tcW w:w="0" w:type="auto"/>
            <w:tcMar>
              <w:top w:w="0" w:type="dxa"/>
              <w:left w:w="0" w:type="dxa"/>
              <w:bottom w:w="0" w:type="dxa"/>
              <w:right w:w="0" w:type="dxa"/>
            </w:tcMar>
            <w:vAlign w:val="center"/>
            <w:hideMark/>
          </w:tcPr>
          <w:p w14:paraId="24751D83" w14:textId="77777777" w:rsidR="00CA4020" w:rsidRPr="00CA4020" w:rsidRDefault="00CA4020" w:rsidP="00CA4020">
            <w:pPr>
              <w:spacing w:after="0" w:line="240" w:lineRule="auto"/>
              <w:rPr>
                <w:rFonts w:ascii="Times New Roman" w:eastAsia="Times New Roman" w:hAnsi="Times New Roman" w:cs="Times New Roman"/>
                <w:sz w:val="18"/>
                <w:szCs w:val="18"/>
                <w:lang w:eastAsia="ru-RU"/>
              </w:rPr>
            </w:pPr>
            <w:r w:rsidRPr="00CA4020">
              <w:rPr>
                <w:rFonts w:ascii="Times New Roman" w:eastAsia="Times New Roman" w:hAnsi="Times New Roman" w:cs="Times New Roman"/>
                <w:noProof/>
                <w:sz w:val="18"/>
                <w:szCs w:val="18"/>
                <w:lang w:eastAsia="ru-RU"/>
              </w:rPr>
              <w:drawing>
                <wp:inline distT="0" distB="0" distL="0" distR="0" wp14:anchorId="1081466A" wp14:editId="4A771B10">
                  <wp:extent cx="5715000" cy="42506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50690"/>
                          </a:xfrm>
                          <a:prstGeom prst="rect">
                            <a:avLst/>
                          </a:prstGeom>
                          <a:noFill/>
                          <a:ln>
                            <a:noFill/>
                          </a:ln>
                        </pic:spPr>
                      </pic:pic>
                    </a:graphicData>
                  </a:graphic>
                </wp:inline>
              </w:drawing>
            </w:r>
          </w:p>
        </w:tc>
      </w:tr>
      <w:tr w:rsidR="00CA4020" w:rsidRPr="00CA4020" w14:paraId="67421CBA" w14:textId="77777777" w:rsidTr="00CA4020">
        <w:tc>
          <w:tcPr>
            <w:tcW w:w="0" w:type="auto"/>
            <w:tcMar>
              <w:top w:w="24" w:type="dxa"/>
              <w:left w:w="0" w:type="dxa"/>
              <w:bottom w:w="48" w:type="dxa"/>
              <w:right w:w="0" w:type="dxa"/>
            </w:tcMar>
            <w:vAlign w:val="center"/>
            <w:hideMark/>
          </w:tcPr>
          <w:p w14:paraId="7E4CE6E0" w14:textId="77777777" w:rsidR="00CA4020" w:rsidRPr="00CA4020" w:rsidRDefault="00CA4020" w:rsidP="00CA4020">
            <w:pPr>
              <w:spacing w:after="0" w:line="240" w:lineRule="auto"/>
              <w:rPr>
                <w:rFonts w:ascii="Times New Roman" w:eastAsia="Times New Roman" w:hAnsi="Times New Roman" w:cs="Times New Roman"/>
                <w:sz w:val="18"/>
                <w:szCs w:val="18"/>
                <w:lang w:eastAsia="ru-RU"/>
              </w:rPr>
            </w:pPr>
          </w:p>
        </w:tc>
      </w:tr>
    </w:tbl>
    <w:p w14:paraId="6E55076D" w14:textId="77777777" w:rsidR="00CA4020" w:rsidRPr="00CA4020" w:rsidRDefault="00CA4020" w:rsidP="00CA4020">
      <w:pPr>
        <w:shd w:val="clear" w:color="auto" w:fill="FFFFFF"/>
        <w:spacing w:after="0" w:line="240" w:lineRule="auto"/>
        <w:rPr>
          <w:rFonts w:ascii="Tahoma" w:eastAsia="Times New Roman" w:hAnsi="Tahoma" w:cs="Tahoma"/>
          <w:color w:val="3B3B3B"/>
          <w:sz w:val="18"/>
          <w:szCs w:val="18"/>
          <w:lang w:eastAsia="ru-RU"/>
        </w:rPr>
      </w:pPr>
      <w:r w:rsidRPr="00CA4020">
        <w:rPr>
          <w:rFonts w:ascii="Tahoma" w:eastAsia="Times New Roman" w:hAnsi="Tahoma" w:cs="Tahoma"/>
          <w:b/>
          <w:bCs/>
          <w:color w:val="3B3B3B"/>
          <w:sz w:val="18"/>
          <w:szCs w:val="18"/>
          <w:lang w:eastAsia="ru-RU"/>
        </w:rPr>
        <w:t>Приборы учета подлежат установке </w:t>
      </w:r>
      <w:r w:rsidRPr="00CA4020">
        <w:rPr>
          <w:rFonts w:ascii="Tahoma" w:eastAsia="Times New Roman" w:hAnsi="Tahoma" w:cs="Tahoma"/>
          <w:color w:val="3B3B3B"/>
          <w:sz w:val="18"/>
          <w:szCs w:val="18"/>
          <w:lang w:eastAsia="ru-RU"/>
        </w:rPr>
        <w:t>на границах балансовой принадлежности (в отношении членов садоводческого, огороднического или дачного некоммерческого объединения либо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 на границах земельных участков) объектов электроэнергетики (энергопринимающих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в соответствии с настоящим разделом с соблюдением установленных законодательством Российской Федерации требований к местам установки приборов учета.</w:t>
      </w:r>
      <w:r w:rsidRPr="00CA4020">
        <w:rPr>
          <w:rFonts w:ascii="Tahoma" w:eastAsia="Times New Roman" w:hAnsi="Tahoma" w:cs="Tahoma"/>
          <w:b/>
          <w:bCs/>
          <w:color w:val="3B3B3B"/>
          <w:sz w:val="18"/>
          <w:szCs w:val="18"/>
          <w:lang w:eastAsia="ru-RU"/>
        </w:rPr>
        <w:t> При отсутствии технической возможности установки прибора учета на границе балансовой принадлежности</w:t>
      </w:r>
      <w:r w:rsidRPr="00CA4020">
        <w:rPr>
          <w:rFonts w:ascii="Tahoma" w:eastAsia="Times New Roman" w:hAnsi="Tahoma" w:cs="Tahoma"/>
          <w:color w:val="3B3B3B"/>
          <w:sz w:val="18"/>
          <w:szCs w:val="18"/>
          <w:lang w:eastAsia="ru-RU"/>
        </w:rPr>
        <w:t> (в отношении члена садоводческого, огороднического или дачного некоммерческого объединения либо гражданина, ведущего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 на границе земельного участка) объектов электроэнергетики (энергопринимающих устройств) смежных субъектов розничного рынка </w:t>
      </w:r>
      <w:r w:rsidRPr="00CA4020">
        <w:rPr>
          <w:rFonts w:ascii="Tahoma" w:eastAsia="Times New Roman" w:hAnsi="Tahoma" w:cs="Tahoma"/>
          <w:b/>
          <w:bCs/>
          <w:color w:val="3B3B3B"/>
          <w:sz w:val="18"/>
          <w:szCs w:val="18"/>
          <w:lang w:eastAsia="ru-RU"/>
        </w:rPr>
        <w:t>прибор учета подлежит установке в месте, максимально приближенном к границе балансовой принадлежности </w:t>
      </w:r>
      <w:r w:rsidRPr="00CA4020">
        <w:rPr>
          <w:rFonts w:ascii="Tahoma" w:eastAsia="Times New Roman" w:hAnsi="Tahoma" w:cs="Tahoma"/>
          <w:color w:val="3B3B3B"/>
          <w:sz w:val="18"/>
          <w:szCs w:val="18"/>
          <w:lang w:eastAsia="ru-RU"/>
        </w:rPr>
        <w:t>(в отношении члена садоводческого, огороднического или дачного некоммерческого объединения либо гражданина, ведущего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 к границе земельного участка),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(энергопринимающих устройств) другого смежного субъекта.</w:t>
      </w:r>
    </w:p>
    <w:p w14:paraId="4F0AC41A" w14:textId="77777777" w:rsidR="00CA4020" w:rsidRPr="00CA4020" w:rsidRDefault="00CA4020" w:rsidP="00CA4020">
      <w:pPr>
        <w:shd w:val="clear" w:color="auto" w:fill="FFFFFF"/>
        <w:spacing w:after="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br/>
        <w:t>В случае если прибор учета, в том числе</w:t>
      </w:r>
      <w:r w:rsidRPr="00CA4020">
        <w:rPr>
          <w:rFonts w:ascii="Tahoma" w:eastAsia="Times New Roman" w:hAnsi="Tahoma" w:cs="Tahoma"/>
          <w:b/>
          <w:bCs/>
          <w:color w:val="3B3B3B"/>
          <w:sz w:val="18"/>
          <w:szCs w:val="18"/>
          <w:lang w:eastAsia="ru-RU"/>
        </w:rPr>
        <w:t> коллективный (общедомовый) прибор учета </w:t>
      </w:r>
      <w:r w:rsidRPr="00CA4020">
        <w:rPr>
          <w:rFonts w:ascii="Tahoma" w:eastAsia="Times New Roman" w:hAnsi="Tahoma" w:cs="Tahoma"/>
          <w:color w:val="3B3B3B"/>
          <w:sz w:val="18"/>
          <w:szCs w:val="18"/>
          <w:lang w:eastAsia="ru-RU"/>
        </w:rPr>
        <w:t>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w:t>
      </w:r>
      <w:r w:rsidRPr="00CA4020">
        <w:rPr>
          <w:rFonts w:ascii="Tahoma" w:eastAsia="Times New Roman" w:hAnsi="Tahoma" w:cs="Tahoma"/>
          <w:b/>
          <w:bCs/>
          <w:color w:val="3B3B3B"/>
          <w:sz w:val="18"/>
          <w:szCs w:val="18"/>
          <w:lang w:eastAsia="ru-RU"/>
        </w:rPr>
        <w:t>на основании показаний такого прибора учета</w:t>
      </w:r>
      <w:r w:rsidRPr="00CA4020">
        <w:rPr>
          <w:rFonts w:ascii="Tahoma" w:eastAsia="Times New Roman" w:hAnsi="Tahoma" w:cs="Tahoma"/>
          <w:color w:val="3B3B3B"/>
          <w:sz w:val="18"/>
          <w:szCs w:val="18"/>
          <w:lang w:eastAsia="ru-RU"/>
        </w:rPr>
        <w:t>, в целях осуществления расчетов по договору </w:t>
      </w:r>
      <w:r w:rsidRPr="00CA4020">
        <w:rPr>
          <w:rFonts w:ascii="Tahoma" w:eastAsia="Times New Roman" w:hAnsi="Tahoma" w:cs="Tahoma"/>
          <w:b/>
          <w:bCs/>
          <w:color w:val="3B3B3B"/>
          <w:sz w:val="18"/>
          <w:szCs w:val="18"/>
          <w:lang w:eastAsia="ru-RU"/>
        </w:rPr>
        <w:t>подлежит корректировке на величину потерь электрической энергии</w:t>
      </w:r>
      <w:r w:rsidRPr="00CA4020">
        <w:rPr>
          <w:rFonts w:ascii="Tahoma" w:eastAsia="Times New Roman" w:hAnsi="Tahoma" w:cs="Tahoma"/>
          <w:color w:val="3B3B3B"/>
          <w:sz w:val="18"/>
          <w:szCs w:val="18"/>
          <w:lang w:eastAsia="ru-RU"/>
        </w:rPr>
        <w:t>, возникающих на участке сети </w:t>
      </w:r>
      <w:r w:rsidRPr="00CA4020">
        <w:rPr>
          <w:rFonts w:ascii="Tahoma" w:eastAsia="Times New Roman" w:hAnsi="Tahoma" w:cs="Tahoma"/>
          <w:b/>
          <w:bCs/>
          <w:color w:val="3B3B3B"/>
          <w:sz w:val="18"/>
          <w:szCs w:val="18"/>
          <w:lang w:eastAsia="ru-RU"/>
        </w:rPr>
        <w:t>от границы балансовой принадлежности</w:t>
      </w:r>
      <w:r w:rsidRPr="00CA4020">
        <w:rPr>
          <w:rFonts w:ascii="Tahoma" w:eastAsia="Times New Roman" w:hAnsi="Tahoma" w:cs="Tahoma"/>
          <w:color w:val="3B3B3B"/>
          <w:sz w:val="18"/>
          <w:szCs w:val="18"/>
          <w:lang w:eastAsia="ru-RU"/>
        </w:rPr>
        <w:t> объектов электроэнергетики (энергопринимающих устройств) </w:t>
      </w:r>
      <w:r w:rsidRPr="00CA4020">
        <w:rPr>
          <w:rFonts w:ascii="Tahoma" w:eastAsia="Times New Roman" w:hAnsi="Tahoma" w:cs="Tahoma"/>
          <w:b/>
          <w:bCs/>
          <w:color w:val="3B3B3B"/>
          <w:sz w:val="18"/>
          <w:szCs w:val="18"/>
          <w:lang w:eastAsia="ru-RU"/>
        </w:rPr>
        <w:t xml:space="preserve">до места установки </w:t>
      </w:r>
      <w:r w:rsidRPr="00CA4020">
        <w:rPr>
          <w:rFonts w:ascii="Tahoma" w:eastAsia="Times New Roman" w:hAnsi="Tahoma" w:cs="Tahoma"/>
          <w:b/>
          <w:bCs/>
          <w:color w:val="3B3B3B"/>
          <w:sz w:val="18"/>
          <w:szCs w:val="18"/>
          <w:lang w:eastAsia="ru-RU"/>
        </w:rPr>
        <w:lastRenderedPageBreak/>
        <w:t>прибора учета.</w:t>
      </w:r>
      <w:r w:rsidRPr="00CA4020">
        <w:rPr>
          <w:rFonts w:ascii="Tahoma" w:eastAsia="Times New Roman" w:hAnsi="Tahoma" w:cs="Tahoma"/>
          <w:color w:val="3B3B3B"/>
          <w:sz w:val="18"/>
          <w:szCs w:val="18"/>
          <w:lang w:eastAsia="ru-RU"/>
        </w:rPr>
        <w:t> При этом </w:t>
      </w:r>
      <w:r w:rsidRPr="00CA4020">
        <w:rPr>
          <w:rFonts w:ascii="Tahoma" w:eastAsia="Times New Roman" w:hAnsi="Tahoma" w:cs="Tahoma"/>
          <w:b/>
          <w:bCs/>
          <w:color w:val="3B3B3B"/>
          <w:sz w:val="18"/>
          <w:szCs w:val="18"/>
          <w:lang w:eastAsia="ru-RU"/>
        </w:rPr>
        <w:t>расчет величины потерь</w:t>
      </w:r>
      <w:r w:rsidRPr="00CA4020">
        <w:rPr>
          <w:rFonts w:ascii="Tahoma" w:eastAsia="Times New Roman" w:hAnsi="Tahoma" w:cs="Tahoma"/>
          <w:color w:val="3B3B3B"/>
          <w:sz w:val="18"/>
          <w:szCs w:val="18"/>
          <w:lang w:eastAsia="ru-RU"/>
        </w:rPr>
        <w:t> осуществляется сетевой организацией </w:t>
      </w:r>
      <w:r w:rsidRPr="00CA4020">
        <w:rPr>
          <w:rFonts w:ascii="Tahoma" w:eastAsia="Times New Roman" w:hAnsi="Tahoma" w:cs="Tahoma"/>
          <w:b/>
          <w:bCs/>
          <w:color w:val="3B3B3B"/>
          <w:sz w:val="18"/>
          <w:szCs w:val="18"/>
          <w:lang w:eastAsia="ru-RU"/>
        </w:rPr>
        <w:t>в соответствии с актом </w:t>
      </w:r>
      <w:r w:rsidRPr="00CA4020">
        <w:rPr>
          <w:rFonts w:ascii="Tahoma" w:eastAsia="Times New Roman" w:hAnsi="Tahoma" w:cs="Tahoma"/>
          <w:color w:val="3B3B3B"/>
          <w:sz w:val="18"/>
          <w:szCs w:val="18"/>
          <w:lang w:eastAsia="ru-RU"/>
        </w:rPr>
        <w:t>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на дату вступления в силу настоящего документа в договоре энергоснабжения,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такой акт уполномоченного федерального органа используется с 1-го числа месяца, следующего за месяцем, в котором одна из сторон в письменной форме направила заявление о его использовании.</w:t>
      </w:r>
    </w:p>
    <w:p w14:paraId="6B11FBAD" w14:textId="77777777" w:rsidR="00CA4020" w:rsidRPr="00CA4020" w:rsidRDefault="00CA4020" w:rsidP="00CA4020">
      <w:pPr>
        <w:shd w:val="clear" w:color="auto" w:fill="FFFFFF"/>
        <w:spacing w:after="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br/>
        <w:t>В случае </w:t>
      </w:r>
      <w:r w:rsidRPr="00CA4020">
        <w:rPr>
          <w:rFonts w:ascii="Tahoma" w:eastAsia="Times New Roman" w:hAnsi="Tahoma" w:cs="Tahoma"/>
          <w:b/>
          <w:bCs/>
          <w:color w:val="3B3B3B"/>
          <w:sz w:val="18"/>
          <w:szCs w:val="18"/>
          <w:lang w:eastAsia="ru-RU"/>
        </w:rPr>
        <w:t>заключения договора энергоснабжения членом садоводческого</w:t>
      </w:r>
      <w:r w:rsidRPr="00CA4020">
        <w:rPr>
          <w:rFonts w:ascii="Tahoma" w:eastAsia="Times New Roman" w:hAnsi="Tahoma" w:cs="Tahoma"/>
          <w:color w:val="3B3B3B"/>
          <w:sz w:val="18"/>
          <w:szCs w:val="18"/>
          <w:lang w:eastAsia="ru-RU"/>
        </w:rPr>
        <w:t>, огороднического или дачного некоммерческого объединения либо гражданином,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w:t>
      </w:r>
      <w:r w:rsidRPr="00CA4020">
        <w:rPr>
          <w:rFonts w:ascii="Tahoma" w:eastAsia="Times New Roman" w:hAnsi="Tahoma" w:cs="Tahoma"/>
          <w:b/>
          <w:bCs/>
          <w:color w:val="3B3B3B"/>
          <w:sz w:val="18"/>
          <w:szCs w:val="18"/>
          <w:lang w:eastAsia="ru-RU"/>
        </w:rPr>
        <w:t> такие лица обязаны оплачивать часть стоимости электрической энергии</w:t>
      </w:r>
      <w:r w:rsidRPr="00CA4020">
        <w:rPr>
          <w:rFonts w:ascii="Tahoma" w:eastAsia="Times New Roman" w:hAnsi="Tahoma" w:cs="Tahoma"/>
          <w:color w:val="3B3B3B"/>
          <w:sz w:val="18"/>
          <w:szCs w:val="18"/>
          <w:lang w:eastAsia="ru-RU"/>
        </w:rPr>
        <w:t>, потребленной </w:t>
      </w:r>
      <w:r w:rsidRPr="00CA4020">
        <w:rPr>
          <w:rFonts w:ascii="Tahoma" w:eastAsia="Times New Roman" w:hAnsi="Tahoma" w:cs="Tahoma"/>
          <w:b/>
          <w:bCs/>
          <w:color w:val="3B3B3B"/>
          <w:sz w:val="18"/>
          <w:szCs w:val="18"/>
          <w:lang w:eastAsia="ru-RU"/>
        </w:rPr>
        <w:t>при использовании объектов инфраструктуры</w:t>
      </w:r>
      <w:r w:rsidRPr="00CA4020">
        <w:rPr>
          <w:rFonts w:ascii="Tahoma" w:eastAsia="Times New Roman" w:hAnsi="Tahoma" w:cs="Tahoma"/>
          <w:color w:val="3B3B3B"/>
          <w:sz w:val="18"/>
          <w:szCs w:val="18"/>
          <w:lang w:eastAsia="ru-RU"/>
        </w:rPr>
        <w:t> и другого имущества общего пользования садоводческих, огороднических и дачных некоммерческих объединений, и часть потерь электрической энергии, возникающих в объектах электросетевого хозяйства, принадлежащих садоводческому, огородническому или дачному некоммерческому объединению, в адрес такого садоводческого, огороднического или дачного некоммерческого объединения.</w:t>
      </w:r>
    </w:p>
    <w:p w14:paraId="2BF0FAB5" w14:textId="77777777" w:rsidR="00CA4020" w:rsidRPr="00CA4020" w:rsidRDefault="00CA4020" w:rsidP="00CA4020">
      <w:pPr>
        <w:shd w:val="clear" w:color="auto" w:fill="FFFFFF"/>
        <w:spacing w:after="0" w:line="240" w:lineRule="auto"/>
        <w:rPr>
          <w:rFonts w:ascii="Tahoma" w:eastAsia="Times New Roman" w:hAnsi="Tahoma" w:cs="Tahoma"/>
          <w:color w:val="3B3B3B"/>
          <w:sz w:val="18"/>
          <w:szCs w:val="18"/>
          <w:lang w:eastAsia="ru-RU"/>
        </w:rPr>
      </w:pPr>
      <w:r w:rsidRPr="00CA4020">
        <w:rPr>
          <w:rFonts w:ascii="Tahoma" w:eastAsia="Times New Roman" w:hAnsi="Tahoma" w:cs="Tahoma"/>
          <w:color w:val="3B3B3B"/>
          <w:sz w:val="18"/>
          <w:szCs w:val="18"/>
          <w:lang w:eastAsia="ru-RU"/>
        </w:rPr>
        <w:br/>
        <w:t>При этом</w:t>
      </w:r>
      <w:r w:rsidRPr="00CA4020">
        <w:rPr>
          <w:rFonts w:ascii="Tahoma" w:eastAsia="Times New Roman" w:hAnsi="Tahoma" w:cs="Tahoma"/>
          <w:b/>
          <w:bCs/>
          <w:color w:val="3B3B3B"/>
          <w:sz w:val="18"/>
          <w:szCs w:val="18"/>
          <w:lang w:eastAsia="ru-RU"/>
        </w:rPr>
        <w:t> порядок расчета подлежащей оплате членам</w:t>
      </w:r>
      <w:r w:rsidRPr="00CA4020">
        <w:rPr>
          <w:rFonts w:ascii="Tahoma" w:eastAsia="Times New Roman" w:hAnsi="Tahoma" w:cs="Tahoma"/>
          <w:color w:val="3B3B3B"/>
          <w:sz w:val="18"/>
          <w:szCs w:val="18"/>
          <w:lang w:eastAsia="ru-RU"/>
        </w:rPr>
        <w:t>и садоводческих, огороднических и дачных некоммерческих объединений либо гражданами, ведущими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w:t>
      </w:r>
      <w:r w:rsidRPr="00CA4020">
        <w:rPr>
          <w:rFonts w:ascii="Tahoma" w:eastAsia="Times New Roman" w:hAnsi="Tahoma" w:cs="Tahoma"/>
          <w:b/>
          <w:bCs/>
          <w:color w:val="3B3B3B"/>
          <w:sz w:val="18"/>
          <w:szCs w:val="18"/>
          <w:lang w:eastAsia="ru-RU"/>
        </w:rPr>
        <w:t> части стоимости электрической энергии</w:t>
      </w:r>
      <w:r w:rsidRPr="00CA4020">
        <w:rPr>
          <w:rFonts w:ascii="Tahoma" w:eastAsia="Times New Roman" w:hAnsi="Tahoma" w:cs="Tahoma"/>
          <w:color w:val="3B3B3B"/>
          <w:sz w:val="18"/>
          <w:szCs w:val="18"/>
          <w:lang w:eastAsia="ru-RU"/>
        </w:rPr>
        <w:t>, </w:t>
      </w:r>
      <w:r w:rsidRPr="00CA4020">
        <w:rPr>
          <w:rFonts w:ascii="Tahoma" w:eastAsia="Times New Roman" w:hAnsi="Tahoma" w:cs="Tahoma"/>
          <w:b/>
          <w:bCs/>
          <w:color w:val="3B3B3B"/>
          <w:sz w:val="18"/>
          <w:szCs w:val="18"/>
          <w:lang w:eastAsia="ru-RU"/>
        </w:rPr>
        <w:t>потребленной при использовании объектов инфраструктур</w:t>
      </w:r>
      <w:r w:rsidRPr="00CA4020">
        <w:rPr>
          <w:rFonts w:ascii="Tahoma" w:eastAsia="Times New Roman" w:hAnsi="Tahoma" w:cs="Tahoma"/>
          <w:color w:val="3B3B3B"/>
          <w:sz w:val="18"/>
          <w:szCs w:val="18"/>
          <w:lang w:eastAsia="ru-RU"/>
        </w:rPr>
        <w:t>ы и другого имущества общего пользования садоводческих, огороднических и дачных некоммерческих объединений, </w:t>
      </w:r>
      <w:r w:rsidRPr="00CA4020">
        <w:rPr>
          <w:rFonts w:ascii="Tahoma" w:eastAsia="Times New Roman" w:hAnsi="Tahoma" w:cs="Tahoma"/>
          <w:b/>
          <w:bCs/>
          <w:color w:val="3B3B3B"/>
          <w:sz w:val="18"/>
          <w:szCs w:val="18"/>
          <w:lang w:eastAsia="ru-RU"/>
        </w:rPr>
        <w:t>и части потерь электрической энергии</w:t>
      </w:r>
      <w:r w:rsidRPr="00CA4020">
        <w:rPr>
          <w:rFonts w:ascii="Tahoma" w:eastAsia="Times New Roman" w:hAnsi="Tahoma" w:cs="Tahoma"/>
          <w:color w:val="3B3B3B"/>
          <w:sz w:val="18"/>
          <w:szCs w:val="18"/>
          <w:lang w:eastAsia="ru-RU"/>
        </w:rPr>
        <w:t>, возникающих в объектах электросетевого хозяйства, принадлежащих садоводческому, огородническому или дачному некоммерческому объединению, </w:t>
      </w:r>
      <w:r w:rsidRPr="00CA4020">
        <w:rPr>
          <w:rFonts w:ascii="Tahoma" w:eastAsia="Times New Roman" w:hAnsi="Tahoma" w:cs="Tahoma"/>
          <w:b/>
          <w:bCs/>
          <w:color w:val="3B3B3B"/>
          <w:sz w:val="18"/>
          <w:szCs w:val="18"/>
          <w:lang w:eastAsia="ru-RU"/>
        </w:rPr>
        <w:t>должен быть одинаковым для всех членов</w:t>
      </w:r>
      <w:r w:rsidRPr="00CA4020">
        <w:rPr>
          <w:rFonts w:ascii="Tahoma" w:eastAsia="Times New Roman" w:hAnsi="Tahoma" w:cs="Tahoma"/>
          <w:color w:val="3B3B3B"/>
          <w:sz w:val="18"/>
          <w:szCs w:val="18"/>
          <w:lang w:eastAsia="ru-RU"/>
        </w:rPr>
        <w:t> садоводческих, огороднических и дачных некоммерческих объединений и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w:t>
      </w:r>
      <w:r w:rsidRPr="00CA4020">
        <w:rPr>
          <w:rFonts w:ascii="Tahoma" w:eastAsia="Times New Roman" w:hAnsi="Tahoma" w:cs="Tahoma"/>
          <w:b/>
          <w:bCs/>
          <w:color w:val="3B3B3B"/>
          <w:sz w:val="18"/>
          <w:szCs w:val="18"/>
          <w:lang w:eastAsia="ru-RU"/>
        </w:rPr>
        <w:t> вне зависимости от наличия договора энергоснабжения</w:t>
      </w:r>
      <w:r w:rsidRPr="00CA4020">
        <w:rPr>
          <w:rFonts w:ascii="Tahoma" w:eastAsia="Times New Roman" w:hAnsi="Tahoma" w:cs="Tahoma"/>
          <w:color w:val="3B3B3B"/>
          <w:sz w:val="18"/>
          <w:szCs w:val="18"/>
          <w:lang w:eastAsia="ru-RU"/>
        </w:rPr>
        <w:t>, заключенного в соответствии с настоящим документом между членом садоводческого, огороднического или дачного некоммерческого объединения либо гражданином,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гарантирующим поставщиком или энергосбытовой (энергоснабжающей) организацией.";</w:t>
      </w:r>
    </w:p>
    <w:p w14:paraId="56CECA18" w14:textId="77777777" w:rsidR="00CA4020" w:rsidRPr="00CA4020" w:rsidRDefault="00CA4020" w:rsidP="00CA4020">
      <w:pPr>
        <w:shd w:val="clear" w:color="auto" w:fill="FFD7AF"/>
        <w:spacing w:line="240" w:lineRule="auto"/>
        <w:rPr>
          <w:rFonts w:ascii="Tahoma" w:eastAsia="Times New Roman" w:hAnsi="Tahoma" w:cs="Tahoma"/>
          <w:b/>
          <w:bCs/>
          <w:color w:val="3B3B3B"/>
          <w:sz w:val="18"/>
          <w:szCs w:val="18"/>
          <w:lang w:eastAsia="ru-RU"/>
        </w:rPr>
      </w:pPr>
      <w:r w:rsidRPr="00CA4020">
        <w:rPr>
          <w:rFonts w:ascii="Tahoma" w:eastAsia="Times New Roman" w:hAnsi="Tahoma" w:cs="Tahoma"/>
          <w:b/>
          <w:bCs/>
          <w:color w:val="3B3B3B"/>
          <w:sz w:val="18"/>
          <w:szCs w:val="18"/>
          <w:lang w:eastAsia="ru-RU"/>
        </w:rPr>
        <w:t>Никаких законных ограничений и особых требований на устанавливаемое сертифицированное оборудование и монтажные работы со стороны энергосбытовой компании не существует. Единственными условиями являются постоянный свободный доступ к опорам с узлами учета электроэнергии и максимальная высота их установки 1 700 мм. (1,7 м.) над уровнем земли.</w:t>
      </w:r>
    </w:p>
    <w:tbl>
      <w:tblPr>
        <w:tblW w:w="15" w:type="dxa"/>
        <w:tblCellMar>
          <w:top w:w="15" w:type="dxa"/>
          <w:left w:w="15" w:type="dxa"/>
          <w:bottom w:w="15" w:type="dxa"/>
          <w:right w:w="15" w:type="dxa"/>
        </w:tblCellMar>
        <w:tblLook w:val="04A0" w:firstRow="1" w:lastRow="0" w:firstColumn="1" w:lastColumn="0" w:noHBand="0" w:noVBand="1"/>
      </w:tblPr>
      <w:tblGrid>
        <w:gridCol w:w="15"/>
      </w:tblGrid>
      <w:tr w:rsidR="00CA4020" w:rsidRPr="00CA4020" w14:paraId="6B695967" w14:textId="77777777" w:rsidTr="00CA4020">
        <w:tc>
          <w:tcPr>
            <w:tcW w:w="0" w:type="auto"/>
            <w:tcMar>
              <w:top w:w="0" w:type="dxa"/>
              <w:left w:w="0" w:type="dxa"/>
              <w:bottom w:w="0" w:type="dxa"/>
              <w:right w:w="0" w:type="dxa"/>
            </w:tcMar>
            <w:vAlign w:val="center"/>
            <w:hideMark/>
          </w:tcPr>
          <w:p w14:paraId="562BDA7A" w14:textId="5621ADF9" w:rsidR="00CA4020" w:rsidRPr="00CA4020" w:rsidRDefault="00CA4020" w:rsidP="00CA4020">
            <w:pPr>
              <w:spacing w:after="0" w:line="240" w:lineRule="auto"/>
              <w:rPr>
                <w:rFonts w:ascii="Times New Roman" w:eastAsia="Times New Roman" w:hAnsi="Times New Roman" w:cs="Times New Roman"/>
                <w:sz w:val="18"/>
                <w:szCs w:val="18"/>
                <w:lang w:eastAsia="ru-RU"/>
              </w:rPr>
            </w:pPr>
          </w:p>
        </w:tc>
      </w:tr>
      <w:tr w:rsidR="00CA4020" w:rsidRPr="00CA4020" w14:paraId="2D81DA6A" w14:textId="77777777" w:rsidTr="00CA4020">
        <w:tc>
          <w:tcPr>
            <w:tcW w:w="0" w:type="auto"/>
            <w:tcMar>
              <w:top w:w="24" w:type="dxa"/>
              <w:left w:w="0" w:type="dxa"/>
              <w:bottom w:w="48" w:type="dxa"/>
              <w:right w:w="0" w:type="dxa"/>
            </w:tcMar>
            <w:vAlign w:val="center"/>
            <w:hideMark/>
          </w:tcPr>
          <w:p w14:paraId="4397B183" w14:textId="77777777" w:rsidR="00CA4020" w:rsidRPr="00CA4020" w:rsidRDefault="00CA4020" w:rsidP="00CA4020">
            <w:pPr>
              <w:spacing w:after="0" w:line="240" w:lineRule="auto"/>
              <w:rPr>
                <w:rFonts w:ascii="Times New Roman" w:eastAsia="Times New Roman" w:hAnsi="Times New Roman" w:cs="Times New Roman"/>
                <w:sz w:val="18"/>
                <w:szCs w:val="18"/>
                <w:lang w:eastAsia="ru-RU"/>
              </w:rPr>
            </w:pPr>
          </w:p>
        </w:tc>
      </w:tr>
    </w:tbl>
    <w:p w14:paraId="4E6F66BD" w14:textId="77777777" w:rsidR="00AC1940" w:rsidRDefault="00AC1940"/>
    <w:sectPr w:rsidR="00AC1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626CE"/>
    <w:multiLevelType w:val="multilevel"/>
    <w:tmpl w:val="D9A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7E4B82"/>
    <w:multiLevelType w:val="multilevel"/>
    <w:tmpl w:val="E018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20"/>
    <w:rsid w:val="00AC1940"/>
    <w:rsid w:val="00CA4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7FD6D"/>
  <w15:chartTrackingRefBased/>
  <w15:docId w15:val="{73DA047C-3843-4717-A3E7-AB0EF31D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94913">
      <w:bodyDiv w:val="1"/>
      <w:marLeft w:val="0"/>
      <w:marRight w:val="0"/>
      <w:marTop w:val="0"/>
      <w:marBottom w:val="0"/>
      <w:divBdr>
        <w:top w:val="none" w:sz="0" w:space="0" w:color="auto"/>
        <w:left w:val="none" w:sz="0" w:space="0" w:color="auto"/>
        <w:bottom w:val="none" w:sz="0" w:space="0" w:color="auto"/>
        <w:right w:val="none" w:sz="0" w:space="0" w:color="auto"/>
      </w:divBdr>
      <w:divsChild>
        <w:div w:id="1468667993">
          <w:marLeft w:val="0"/>
          <w:marRight w:val="0"/>
          <w:marTop w:val="0"/>
          <w:marBottom w:val="225"/>
          <w:divBdr>
            <w:top w:val="none" w:sz="0" w:space="0" w:color="auto"/>
            <w:left w:val="none" w:sz="0" w:space="0" w:color="auto"/>
            <w:bottom w:val="none" w:sz="0" w:space="0" w:color="auto"/>
            <w:right w:val="none" w:sz="0" w:space="0" w:color="auto"/>
          </w:divBdr>
        </w:div>
        <w:div w:id="199322039">
          <w:blockQuote w:val="1"/>
          <w:marLeft w:val="0"/>
          <w:marRight w:val="0"/>
          <w:marTop w:val="0"/>
          <w:marBottom w:val="216"/>
          <w:divBdr>
            <w:top w:val="none" w:sz="0" w:space="0" w:color="auto"/>
            <w:left w:val="none" w:sz="0" w:space="0" w:color="auto"/>
            <w:bottom w:val="none" w:sz="0" w:space="0" w:color="auto"/>
            <w:right w:val="none" w:sz="0" w:space="0" w:color="auto"/>
          </w:divBdr>
        </w:div>
        <w:div w:id="2010864380">
          <w:blockQuote w:val="1"/>
          <w:marLeft w:val="0"/>
          <w:marRight w:val="0"/>
          <w:marTop w:val="0"/>
          <w:marBottom w:val="216"/>
          <w:divBdr>
            <w:top w:val="none" w:sz="0" w:space="0" w:color="auto"/>
            <w:left w:val="none" w:sz="0" w:space="0" w:color="auto"/>
            <w:bottom w:val="none" w:sz="0" w:space="0" w:color="auto"/>
            <w:right w:val="none" w:sz="0" w:space="0" w:color="auto"/>
          </w:divBdr>
        </w:div>
        <w:div w:id="2034304432">
          <w:marLeft w:val="0"/>
          <w:marRight w:val="0"/>
          <w:marTop w:val="0"/>
          <w:marBottom w:val="225"/>
          <w:divBdr>
            <w:top w:val="none" w:sz="0" w:space="0" w:color="auto"/>
            <w:left w:val="none" w:sz="0" w:space="0" w:color="auto"/>
            <w:bottom w:val="none" w:sz="0" w:space="0" w:color="auto"/>
            <w:right w:val="none" w:sz="0" w:space="0" w:color="auto"/>
          </w:divBdr>
        </w:div>
        <w:div w:id="946546633">
          <w:blockQuote w:val="1"/>
          <w:marLeft w:val="0"/>
          <w:marRight w:val="0"/>
          <w:marTop w:val="0"/>
          <w:marBottom w:val="216"/>
          <w:divBdr>
            <w:top w:val="none" w:sz="0" w:space="0" w:color="auto"/>
            <w:left w:val="none" w:sz="0" w:space="0" w:color="auto"/>
            <w:bottom w:val="none" w:sz="0" w:space="0" w:color="auto"/>
            <w:right w:val="none" w:sz="0" w:space="0" w:color="auto"/>
          </w:divBdr>
        </w:div>
        <w:div w:id="9504739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1756</Words>
  <Characters>10010</Characters>
  <Application>Microsoft Office Word</Application>
  <DocSecurity>0</DocSecurity>
  <Lines>83</Lines>
  <Paragraphs>23</Paragraphs>
  <ScaleCrop>false</ScaleCrop>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НСТ Электрик Бух</dc:creator>
  <cp:keywords/>
  <dc:description/>
  <cp:lastModifiedBy>НСТ Электрик Бух</cp:lastModifiedBy>
  <cp:revision>1</cp:revision>
  <cp:lastPrinted>2022-07-23T09:06:00Z</cp:lastPrinted>
  <dcterms:created xsi:type="dcterms:W3CDTF">2022-07-23T09:04:00Z</dcterms:created>
  <dcterms:modified xsi:type="dcterms:W3CDTF">2022-07-23T09:07:00Z</dcterms:modified>
</cp:coreProperties>
</file>